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AE" w:rsidRPr="00E93715" w:rsidRDefault="00E93715" w:rsidP="00E93715">
      <w:pPr>
        <w:spacing w:line="240" w:lineRule="auto"/>
        <w:jc w:val="right"/>
        <w:rPr>
          <w:rFonts w:ascii="Century Gothic" w:hAnsi="Century Gothic" w:cstheme="minorHAnsi"/>
        </w:rPr>
      </w:pPr>
      <w:r w:rsidRPr="00E93715">
        <w:rPr>
          <w:rFonts w:ascii="Century Gothic" w:hAnsi="Century Gothic" w:cstheme="minorHAnsi"/>
        </w:rPr>
        <w:t>Caracas, 11 enero 2021</w:t>
      </w:r>
      <w:r w:rsidR="001A1AAE" w:rsidRPr="00E93715">
        <w:rPr>
          <w:rFonts w:ascii="Century Gothic" w:hAnsi="Century Gothic" w:cstheme="minorHAnsi"/>
        </w:rPr>
        <w:t>.</w:t>
      </w:r>
    </w:p>
    <w:p w:rsidR="00E81A6E" w:rsidRPr="00E93715" w:rsidRDefault="00E81A6E" w:rsidP="00E93715">
      <w:pPr>
        <w:spacing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E93715">
        <w:rPr>
          <w:rFonts w:ascii="Century Gothic" w:hAnsi="Century Gothic" w:cstheme="minorHAnsi"/>
          <w:b/>
          <w:sz w:val="24"/>
          <w:szCs w:val="24"/>
        </w:rPr>
        <w:t>CONFIDENCIAL</w:t>
      </w:r>
      <w:r w:rsidRPr="00E93715">
        <w:rPr>
          <w:rFonts w:ascii="Century Gothic" w:hAnsi="Century Gothic" w:cstheme="minorHAnsi"/>
          <w:sz w:val="24"/>
          <w:szCs w:val="24"/>
        </w:rPr>
        <w:t>.</w:t>
      </w:r>
    </w:p>
    <w:p w:rsidR="00557834" w:rsidRPr="00E93715" w:rsidRDefault="00D23680" w:rsidP="00E93715">
      <w:pPr>
        <w:pStyle w:val="Textoindependiente"/>
        <w:spacing w:line="240" w:lineRule="auto"/>
        <w:jc w:val="both"/>
        <w:rPr>
          <w:rFonts w:ascii="Century Gothic" w:hAnsi="Century Gothic" w:cstheme="minorHAnsi"/>
          <w:sz w:val="24"/>
          <w:szCs w:val="24"/>
        </w:rPr>
      </w:pPr>
      <w:bookmarkStart w:id="0" w:name="_GoBack"/>
      <w:bookmarkEnd w:id="0"/>
      <w:r w:rsidRPr="00E93715">
        <w:rPr>
          <w:rFonts w:ascii="Century Gothic" w:hAnsi="Century Gothic" w:cstheme="minorHAnsi"/>
          <w:b/>
          <w:bCs/>
          <w:sz w:val="24"/>
          <w:szCs w:val="24"/>
        </w:rPr>
        <w:br/>
      </w:r>
      <w:r w:rsidRPr="00E93715">
        <w:rPr>
          <w:rFonts w:ascii="Century Gothic" w:hAnsi="Century Gothic" w:cstheme="minorHAnsi"/>
          <w:sz w:val="24"/>
          <w:szCs w:val="24"/>
        </w:rPr>
        <w:t xml:space="preserve">Venezuela, al igual que muchos otros países, </w:t>
      </w:r>
      <w:r w:rsidR="004D3C8E" w:rsidRPr="00E93715">
        <w:rPr>
          <w:rFonts w:ascii="Century Gothic" w:hAnsi="Century Gothic" w:cstheme="minorHAnsi"/>
          <w:sz w:val="24"/>
          <w:szCs w:val="24"/>
        </w:rPr>
        <w:t xml:space="preserve">tiene a su población en un proceso de </w:t>
      </w:r>
      <w:r w:rsidRPr="00E93715">
        <w:rPr>
          <w:rFonts w:ascii="Century Gothic" w:hAnsi="Century Gothic" w:cstheme="minorHAnsi"/>
          <w:sz w:val="24"/>
          <w:szCs w:val="24"/>
        </w:rPr>
        <w:t xml:space="preserve">envejecimiento demográfico, de acuerdo con una encuesta de la </w:t>
      </w:r>
      <w:r w:rsidRPr="00E93715">
        <w:rPr>
          <w:rFonts w:ascii="Century Gothic" w:hAnsi="Century Gothic" w:cstheme="minorHAnsi"/>
          <w:i/>
          <w:sz w:val="24"/>
          <w:szCs w:val="24"/>
        </w:rPr>
        <w:t>Unesco</w:t>
      </w:r>
      <w:r w:rsidRPr="00E93715">
        <w:rPr>
          <w:rFonts w:ascii="Century Gothic" w:hAnsi="Century Gothic" w:cstheme="minorHAnsi"/>
          <w:sz w:val="24"/>
          <w:szCs w:val="24"/>
        </w:rPr>
        <w:t xml:space="preserve">, en la cual reveló que la población de adultos mayores a 60 años en Venezuela representa </w:t>
      </w:r>
      <w:r w:rsidR="00FA02C3" w:rsidRPr="00E93715">
        <w:rPr>
          <w:rFonts w:ascii="Century Gothic" w:hAnsi="Century Gothic" w:cstheme="minorHAnsi"/>
          <w:sz w:val="24"/>
          <w:szCs w:val="24"/>
        </w:rPr>
        <w:t>alto</w:t>
      </w:r>
      <w:r w:rsidRPr="00E93715">
        <w:rPr>
          <w:rFonts w:ascii="Century Gothic" w:hAnsi="Century Gothic" w:cstheme="minorHAnsi"/>
          <w:sz w:val="24"/>
          <w:szCs w:val="24"/>
        </w:rPr>
        <w:t xml:space="preserve"> % de la población total, según </w:t>
      </w:r>
      <w:r w:rsidR="00FA02C3" w:rsidRPr="00E93715">
        <w:rPr>
          <w:rFonts w:ascii="Century Gothic" w:hAnsi="Century Gothic" w:cstheme="minorHAnsi"/>
          <w:sz w:val="24"/>
          <w:szCs w:val="24"/>
        </w:rPr>
        <w:t xml:space="preserve">el </w:t>
      </w:r>
      <w:r w:rsidRPr="00E93715">
        <w:rPr>
          <w:rFonts w:ascii="Century Gothic" w:hAnsi="Century Gothic" w:cstheme="minorHAnsi"/>
          <w:sz w:val="24"/>
          <w:szCs w:val="24"/>
        </w:rPr>
        <w:t xml:space="preserve">último censo, realizado en el año </w:t>
      </w:r>
      <w:r w:rsidR="00FA02C3" w:rsidRPr="00E93715">
        <w:rPr>
          <w:rFonts w:ascii="Century Gothic" w:hAnsi="Century Gothic" w:cstheme="minorHAnsi"/>
          <w:sz w:val="24"/>
          <w:szCs w:val="24"/>
        </w:rPr>
        <w:t>2011</w:t>
      </w:r>
      <w:r w:rsidRPr="00E93715">
        <w:rPr>
          <w:rFonts w:ascii="Century Gothic" w:hAnsi="Century Gothic" w:cstheme="minorHAnsi"/>
          <w:sz w:val="24"/>
          <w:szCs w:val="24"/>
        </w:rPr>
        <w:t>. En este sentido, se estima que en los próximos años en Venezuela la tasa de envejeciendo seguirá creciendo a un ritmo acelerado, además de inferir que, a partir del 2025, el número de personas</w:t>
      </w:r>
      <w:r w:rsidR="00557834" w:rsidRPr="00E93715">
        <w:rPr>
          <w:rFonts w:ascii="Century Gothic" w:hAnsi="Century Gothic" w:cstheme="minorHAnsi"/>
          <w:sz w:val="24"/>
          <w:szCs w:val="24"/>
        </w:rPr>
        <w:t xml:space="preserve"> </w:t>
      </w:r>
      <w:r w:rsidRPr="00E93715">
        <w:rPr>
          <w:rFonts w:ascii="Century Gothic" w:hAnsi="Century Gothic" w:cstheme="minorHAnsi"/>
          <w:sz w:val="24"/>
          <w:szCs w:val="24"/>
        </w:rPr>
        <w:t>mayores a 60 años superarán a las menores de 15 años.</w:t>
      </w:r>
      <w:r w:rsidR="004D3C8E" w:rsidRPr="00E93715">
        <w:rPr>
          <w:rFonts w:ascii="Century Gothic" w:hAnsi="Century Gothic" w:cstheme="minorHAnsi"/>
          <w:sz w:val="24"/>
          <w:szCs w:val="24"/>
        </w:rPr>
        <w:t xml:space="preserve"> La diáspora ha producido un aumento exponencial en la cantidad de mayores solos, y no menor es la presencia de grupos socio-económicos que tienen a los sucesores generacionales desempeñando vida y carrera en el extranjero, dotados de la capacidad económica para atender a los suyos dentro de un concepto de alto valor, de perfil innovador, que hoy no existe en la oferta local. </w:t>
      </w:r>
    </w:p>
    <w:p w:rsidR="006A1BAF" w:rsidRDefault="008A51CB" w:rsidP="00E93715">
      <w:pPr>
        <w:pStyle w:val="Textoindependiente"/>
        <w:spacing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E93715">
        <w:rPr>
          <w:rFonts w:ascii="Century Gothic" w:hAnsi="Century Gothic" w:cstheme="minorHAnsi"/>
          <w:sz w:val="24"/>
          <w:szCs w:val="24"/>
        </w:rPr>
        <w:t>En este momento y con miras a provecho en el contexto de la ejecución o desempeño de nuestra parte, nos encontramos revisando cifras e indicadores del</w:t>
      </w:r>
      <w:r w:rsidR="00557834" w:rsidRPr="00E93715">
        <w:rPr>
          <w:rFonts w:ascii="Century Gothic" w:hAnsi="Century Gothic" w:cstheme="minorHAnsi"/>
          <w:sz w:val="24"/>
          <w:szCs w:val="24"/>
        </w:rPr>
        <w:t xml:space="preserve"> </w:t>
      </w:r>
      <w:r w:rsidR="00D23680" w:rsidRPr="00E93715">
        <w:rPr>
          <w:rFonts w:ascii="Century Gothic" w:hAnsi="Century Gothic" w:cstheme="minorHAnsi"/>
          <w:sz w:val="24"/>
          <w:szCs w:val="24"/>
        </w:rPr>
        <w:t>Servicio Nacional del Adulto Mayor,</w:t>
      </w:r>
      <w:r w:rsidRPr="00E93715">
        <w:rPr>
          <w:rFonts w:ascii="Century Gothic" w:hAnsi="Century Gothic" w:cstheme="minorHAnsi"/>
          <w:sz w:val="24"/>
          <w:szCs w:val="24"/>
        </w:rPr>
        <w:t xml:space="preserve"> relativas a número de </w:t>
      </w:r>
      <w:r w:rsidRPr="00E93715">
        <w:rPr>
          <w:rFonts w:ascii="Century Gothic" w:hAnsi="Century Gothic" w:cstheme="minorHAnsi"/>
          <w:i/>
          <w:sz w:val="24"/>
          <w:szCs w:val="24"/>
        </w:rPr>
        <w:t>E</w:t>
      </w:r>
      <w:r w:rsidR="00D23680" w:rsidRPr="00E93715">
        <w:rPr>
          <w:rFonts w:ascii="Century Gothic" w:hAnsi="Century Gothic" w:cstheme="minorHAnsi"/>
          <w:i/>
          <w:sz w:val="24"/>
          <w:szCs w:val="24"/>
        </w:rPr>
        <w:t>stablecimientos de Larga Estadía</w:t>
      </w:r>
      <w:r w:rsidR="00D23680" w:rsidRPr="00E93715">
        <w:rPr>
          <w:rFonts w:ascii="Century Gothic" w:hAnsi="Century Gothic" w:cstheme="minorHAnsi"/>
          <w:sz w:val="24"/>
          <w:szCs w:val="24"/>
        </w:rPr>
        <w:t>, que se definen como lugares “</w:t>
      </w:r>
      <w:r w:rsidR="00D23680" w:rsidRPr="00E93715">
        <w:rPr>
          <w:rFonts w:ascii="Century Gothic" w:hAnsi="Century Gothic" w:cstheme="minorHAnsi"/>
          <w:i/>
          <w:sz w:val="24"/>
          <w:szCs w:val="24"/>
        </w:rPr>
        <w:t>en</w:t>
      </w:r>
      <w:r w:rsidRPr="00E93715">
        <w:rPr>
          <w:rFonts w:ascii="Century Gothic" w:hAnsi="Century Gothic" w:cstheme="minorHAnsi"/>
          <w:i/>
          <w:sz w:val="24"/>
          <w:szCs w:val="24"/>
        </w:rPr>
        <w:t xml:space="preserve"> los </w:t>
      </w:r>
      <w:r w:rsidR="00D23680" w:rsidRPr="00E93715">
        <w:rPr>
          <w:rFonts w:ascii="Century Gothic" w:hAnsi="Century Gothic" w:cstheme="minorHAnsi"/>
          <w:i/>
          <w:sz w:val="24"/>
          <w:szCs w:val="24"/>
        </w:rPr>
        <w:t>que</w:t>
      </w:r>
      <w:r w:rsidR="00ED6217" w:rsidRPr="00E93715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="00D23680" w:rsidRPr="00E93715">
        <w:rPr>
          <w:rFonts w:ascii="Century Gothic" w:hAnsi="Century Gothic" w:cstheme="minorHAnsi"/>
          <w:i/>
          <w:sz w:val="24"/>
          <w:szCs w:val="24"/>
        </w:rPr>
        <w:t>residen adultos mayores que, por motivos biológicos, psicológicos o sociales, requieren</w:t>
      </w:r>
      <w:r w:rsidR="00ED6217" w:rsidRPr="00E93715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="00D23680" w:rsidRPr="00E93715">
        <w:rPr>
          <w:rFonts w:ascii="Century Gothic" w:hAnsi="Century Gothic" w:cstheme="minorHAnsi"/>
          <w:i/>
          <w:sz w:val="24"/>
          <w:szCs w:val="24"/>
        </w:rPr>
        <w:t>de un medio ambiente protegido y cuidados diferenciados para la mantención de su salud</w:t>
      </w:r>
      <w:r w:rsidR="00ED6217" w:rsidRPr="00E93715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="00D23680" w:rsidRPr="00E93715">
        <w:rPr>
          <w:rFonts w:ascii="Century Gothic" w:hAnsi="Century Gothic" w:cstheme="minorHAnsi"/>
          <w:i/>
          <w:sz w:val="24"/>
          <w:szCs w:val="24"/>
        </w:rPr>
        <w:t>y funcionalidad</w:t>
      </w:r>
      <w:r w:rsidRPr="00E93715">
        <w:rPr>
          <w:rFonts w:ascii="Century Gothic" w:hAnsi="Century Gothic" w:cstheme="minorHAnsi"/>
          <w:sz w:val="24"/>
          <w:szCs w:val="24"/>
        </w:rPr>
        <w:t>”; en este sentido, también se encuentra bajo estudio el marco legal bajo el cual están regidos, así como su</w:t>
      </w:r>
      <w:r w:rsidR="00D23680" w:rsidRPr="00E93715">
        <w:rPr>
          <w:rFonts w:ascii="Century Gothic" w:hAnsi="Century Gothic" w:cstheme="minorHAnsi"/>
          <w:sz w:val="24"/>
          <w:szCs w:val="24"/>
        </w:rPr>
        <w:t xml:space="preserve"> </w:t>
      </w:r>
      <w:r w:rsidRPr="00E93715">
        <w:rPr>
          <w:rFonts w:ascii="Century Gothic" w:hAnsi="Century Gothic" w:cstheme="minorHAnsi"/>
          <w:sz w:val="24"/>
          <w:szCs w:val="24"/>
        </w:rPr>
        <w:t xml:space="preserve">fiscalización </w:t>
      </w:r>
      <w:r w:rsidR="00D23680" w:rsidRPr="00E93715">
        <w:rPr>
          <w:rFonts w:ascii="Century Gothic" w:hAnsi="Century Gothic" w:cstheme="minorHAnsi"/>
          <w:sz w:val="24"/>
          <w:szCs w:val="24"/>
        </w:rPr>
        <w:t>por los Servicios de Salud del</w:t>
      </w:r>
      <w:r w:rsidR="00ED6217" w:rsidRPr="00E93715">
        <w:rPr>
          <w:rFonts w:ascii="Century Gothic" w:hAnsi="Century Gothic" w:cstheme="minorHAnsi"/>
          <w:sz w:val="24"/>
          <w:szCs w:val="24"/>
        </w:rPr>
        <w:t xml:space="preserve"> </w:t>
      </w:r>
      <w:r w:rsidR="00D23680" w:rsidRPr="00E93715">
        <w:rPr>
          <w:rFonts w:ascii="Century Gothic" w:hAnsi="Century Gothic" w:cstheme="minorHAnsi"/>
          <w:sz w:val="24"/>
          <w:szCs w:val="24"/>
        </w:rPr>
        <w:t xml:space="preserve">correspondiente territorio. </w:t>
      </w:r>
    </w:p>
    <w:p w:rsidR="00305422" w:rsidRPr="00E93715" w:rsidRDefault="00D23680" w:rsidP="00E93715">
      <w:pPr>
        <w:pStyle w:val="Textoindependiente"/>
        <w:spacing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E93715">
        <w:rPr>
          <w:rFonts w:ascii="Century Gothic" w:hAnsi="Century Gothic" w:cstheme="minorHAnsi"/>
          <w:sz w:val="24"/>
          <w:szCs w:val="24"/>
        </w:rPr>
        <w:t>Además, permitirá</w:t>
      </w:r>
      <w:r w:rsidR="00557834" w:rsidRPr="00E93715">
        <w:rPr>
          <w:rFonts w:ascii="Century Gothic" w:hAnsi="Century Gothic" w:cstheme="minorHAnsi"/>
          <w:sz w:val="24"/>
          <w:szCs w:val="24"/>
        </w:rPr>
        <w:t xml:space="preserve"> </w:t>
      </w:r>
      <w:r w:rsidRPr="00E93715">
        <w:rPr>
          <w:rFonts w:ascii="Century Gothic" w:hAnsi="Century Gothic" w:cstheme="minorHAnsi"/>
          <w:sz w:val="24"/>
          <w:szCs w:val="24"/>
        </w:rPr>
        <w:t xml:space="preserve">la tranquilidad por parte de sus familiares, </w:t>
      </w:r>
      <w:r w:rsidR="00305422" w:rsidRPr="00E93715">
        <w:rPr>
          <w:rFonts w:ascii="Century Gothic" w:hAnsi="Century Gothic" w:cstheme="minorHAnsi"/>
          <w:sz w:val="24"/>
          <w:szCs w:val="24"/>
        </w:rPr>
        <w:t xml:space="preserve">clientes satisfechos por </w:t>
      </w:r>
      <w:r w:rsidRPr="00E93715">
        <w:rPr>
          <w:rFonts w:ascii="Century Gothic" w:hAnsi="Century Gothic" w:cstheme="minorHAnsi"/>
          <w:sz w:val="24"/>
          <w:szCs w:val="24"/>
        </w:rPr>
        <w:t>c</w:t>
      </w:r>
      <w:r w:rsidR="00305422" w:rsidRPr="00E93715">
        <w:rPr>
          <w:rFonts w:ascii="Century Gothic" w:hAnsi="Century Gothic" w:cstheme="minorHAnsi"/>
          <w:sz w:val="24"/>
          <w:szCs w:val="24"/>
        </w:rPr>
        <w:t>ontar</w:t>
      </w:r>
      <w:r w:rsidRPr="00E93715">
        <w:rPr>
          <w:rFonts w:ascii="Century Gothic" w:hAnsi="Century Gothic" w:cstheme="minorHAnsi"/>
          <w:sz w:val="24"/>
          <w:szCs w:val="24"/>
        </w:rPr>
        <w:t xml:space="preserve"> </w:t>
      </w:r>
      <w:r w:rsidR="00305422" w:rsidRPr="00E93715">
        <w:rPr>
          <w:rFonts w:ascii="Century Gothic" w:hAnsi="Century Gothic" w:cstheme="minorHAnsi"/>
          <w:sz w:val="24"/>
          <w:szCs w:val="24"/>
        </w:rPr>
        <w:t>un suplidor realmente singular por basar su negocio en esquemas de control de gestión accesibles, verificables y auditables, en vivo y a distancia, entre otras ventajas. La reducción de costes asociados a personal humano permite una dirección de fondos apuntada a ventajas modernas que generan valor agregado sobre diferenciadores absolutos, que de paso, se convierten en aliados de la gestión del médico de familia.</w:t>
      </w:r>
    </w:p>
    <w:p w:rsidR="006A1BAF" w:rsidRDefault="006A1BAF" w:rsidP="006A1BAF">
      <w:pPr>
        <w:pStyle w:val="Textoindependiente"/>
        <w:spacing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6A1BAF" w:rsidRDefault="006A1BAF" w:rsidP="006A1BAF">
      <w:pPr>
        <w:pStyle w:val="Textoindependiente"/>
        <w:spacing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6A1BAF" w:rsidRDefault="006A1BAF" w:rsidP="006A1BAF">
      <w:pPr>
        <w:pStyle w:val="Textoindependiente"/>
        <w:spacing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6A1BAF" w:rsidRPr="00E93715" w:rsidRDefault="006A1BAF" w:rsidP="006A1BAF">
      <w:pPr>
        <w:pStyle w:val="Textoindependiente"/>
        <w:spacing w:line="240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Style w:val="fontstyle01"/>
          <w:rFonts w:ascii="Century Gothic" w:hAnsi="Century Gothic" w:cstheme="minorHAnsi"/>
        </w:rPr>
        <w:t>P</w:t>
      </w:r>
      <w:r w:rsidRPr="00E93715">
        <w:rPr>
          <w:rStyle w:val="fontstyle01"/>
          <w:rFonts w:ascii="Century Gothic" w:hAnsi="Century Gothic" w:cstheme="minorHAnsi"/>
        </w:rPr>
        <w:t xml:space="preserve">roponemos el diseño del </w:t>
      </w:r>
      <w:r w:rsidRPr="00E93715">
        <w:rPr>
          <w:rStyle w:val="fontstyle01"/>
          <w:rFonts w:ascii="Century Gothic" w:hAnsi="Century Gothic" w:cstheme="minorHAnsi"/>
          <w:b/>
        </w:rPr>
        <w:t>Plan de Negocios</w:t>
      </w:r>
      <w:r w:rsidRPr="00E93715">
        <w:rPr>
          <w:rStyle w:val="fontstyle01"/>
          <w:rFonts w:ascii="Century Gothic" w:hAnsi="Century Gothic" w:cstheme="minorHAnsi"/>
        </w:rPr>
        <w:t xml:space="preserve"> bajo el concepto que hemos denominado </w:t>
      </w:r>
      <w:r w:rsidRPr="00E93715">
        <w:rPr>
          <w:rFonts w:ascii="Century Gothic" w:hAnsi="Century Gothic" w:cstheme="minorHAnsi"/>
          <w:sz w:val="24"/>
          <w:szCs w:val="24"/>
        </w:rPr>
        <w:t xml:space="preserve"> “</w:t>
      </w:r>
      <w:r w:rsidRPr="00E93715">
        <w:rPr>
          <w:rFonts w:ascii="Century Gothic" w:hAnsi="Century Gothic" w:cstheme="minorHAnsi"/>
          <w:b/>
          <w:i/>
          <w:sz w:val="24"/>
          <w:szCs w:val="24"/>
        </w:rPr>
        <w:t xml:space="preserve">Empresa de monitoreo y alerta temprana de la salud de los </w:t>
      </w:r>
      <w:r w:rsidRPr="00E93715">
        <w:rPr>
          <w:rFonts w:ascii="Century Gothic" w:hAnsi="Century Gothic" w:cstheme="minorHAnsi"/>
          <w:b/>
          <w:i/>
          <w:sz w:val="24"/>
          <w:szCs w:val="24"/>
        </w:rPr>
        <w:lastRenderedPageBreak/>
        <w:t xml:space="preserve">residentes” </w:t>
      </w:r>
      <w:r w:rsidRPr="00E93715">
        <w:rPr>
          <w:rFonts w:ascii="Century Gothic" w:hAnsi="Century Gothic" w:cstheme="minorHAnsi"/>
          <w:sz w:val="24"/>
          <w:szCs w:val="24"/>
        </w:rPr>
        <w:t xml:space="preserve"> el cual tiene como características clave las siguientes:</w:t>
      </w:r>
    </w:p>
    <w:p w:rsidR="006A1BAF" w:rsidRPr="00E93715" w:rsidRDefault="006A1BAF" w:rsidP="006A1BAF">
      <w:pPr>
        <w:pStyle w:val="Listaconvietas"/>
        <w:spacing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E93715">
        <w:rPr>
          <w:rFonts w:ascii="Century Gothic" w:hAnsi="Century Gothic" w:cstheme="minorHAnsi"/>
          <w:b/>
          <w:i/>
          <w:sz w:val="24"/>
          <w:szCs w:val="24"/>
        </w:rPr>
        <w:t>Vigilancia del perímetro (seguridad privada</w:t>
      </w:r>
      <w:r w:rsidRPr="00E93715">
        <w:rPr>
          <w:rFonts w:ascii="Century Gothic" w:hAnsi="Century Gothic" w:cstheme="minorHAnsi"/>
          <w:sz w:val="24"/>
          <w:szCs w:val="24"/>
        </w:rPr>
        <w:t xml:space="preserve">). Entretenimiento en espacios dispuestos al efecto. Lavandería-servicio de hotel en los modulos residenciales. </w:t>
      </w:r>
      <w:r w:rsidRPr="00E93715">
        <w:rPr>
          <w:rFonts w:ascii="Century Gothic" w:hAnsi="Century Gothic" w:cstheme="minorHAnsi"/>
          <w:i/>
          <w:sz w:val="24"/>
          <w:szCs w:val="24"/>
        </w:rPr>
        <w:t>Concierge</w:t>
      </w:r>
      <w:r w:rsidRPr="00E93715">
        <w:rPr>
          <w:rFonts w:ascii="Century Gothic" w:hAnsi="Century Gothic" w:cstheme="minorHAnsi"/>
          <w:sz w:val="24"/>
          <w:szCs w:val="24"/>
        </w:rPr>
        <w:t xml:space="preserve">. </w:t>
      </w:r>
    </w:p>
    <w:p w:rsidR="006A1BAF" w:rsidRPr="00E93715" w:rsidRDefault="006A1BAF" w:rsidP="006A1BAF">
      <w:pPr>
        <w:pStyle w:val="Listaconvietas"/>
        <w:spacing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E93715">
        <w:rPr>
          <w:rFonts w:ascii="Century Gothic" w:hAnsi="Century Gothic" w:cstheme="minorHAnsi"/>
          <w:b/>
          <w:i/>
          <w:sz w:val="24"/>
          <w:szCs w:val="24"/>
        </w:rPr>
        <w:t>Telemedicina y domótica.</w:t>
      </w:r>
      <w:r w:rsidRPr="00E93715">
        <w:rPr>
          <w:rFonts w:ascii="Century Gothic" w:hAnsi="Century Gothic" w:cstheme="minorHAnsi"/>
          <w:sz w:val="24"/>
          <w:szCs w:val="24"/>
        </w:rPr>
        <w:t xml:space="preserve"> Control 24 horas del día de los registros vitales y/o críticos del residente, mediante un centro de monitoreo ubicado en zona </w:t>
      </w:r>
      <w:r w:rsidRPr="00E93715">
        <w:rPr>
          <w:rFonts w:ascii="Century Gothic" w:hAnsi="Century Gothic" w:cstheme="minorHAnsi"/>
          <w:i/>
          <w:sz w:val="24"/>
          <w:szCs w:val="24"/>
        </w:rPr>
        <w:t>ad-hoc</w:t>
      </w:r>
      <w:r w:rsidRPr="00E93715">
        <w:rPr>
          <w:rFonts w:ascii="Century Gothic" w:hAnsi="Century Gothic" w:cstheme="minorHAnsi"/>
          <w:sz w:val="24"/>
          <w:szCs w:val="24"/>
        </w:rPr>
        <w:t xml:space="preserve"> del recinto. Datos vitales o críticos, cargados previo reporte y en sintonía con médico tratante o médico de familia, el cual tendrá en su móvil acceso a dicha data por medio de </w:t>
      </w:r>
      <w:r w:rsidRPr="00E93715">
        <w:rPr>
          <w:rFonts w:ascii="Century Gothic" w:hAnsi="Century Gothic" w:cstheme="minorHAnsi"/>
          <w:i/>
          <w:sz w:val="24"/>
          <w:szCs w:val="24"/>
        </w:rPr>
        <w:t>App</w:t>
      </w:r>
      <w:r w:rsidRPr="00E93715">
        <w:rPr>
          <w:rFonts w:ascii="Century Gothic" w:hAnsi="Century Gothic" w:cstheme="minorHAnsi"/>
          <w:sz w:val="24"/>
          <w:szCs w:val="24"/>
        </w:rPr>
        <w:t xml:space="preserve"> prevista al efecto. El centro de monitoreo tendrá el personal necesario y competente, bajo la </w:t>
      </w:r>
      <w:r w:rsidRPr="00E93715">
        <w:rPr>
          <w:rFonts w:ascii="Century Gothic" w:hAnsi="Century Gothic" w:cstheme="minorHAnsi"/>
          <w:i/>
          <w:sz w:val="24"/>
          <w:szCs w:val="24"/>
        </w:rPr>
        <w:t>ratio</w:t>
      </w:r>
      <w:r w:rsidRPr="00E93715">
        <w:rPr>
          <w:rFonts w:ascii="Century Gothic" w:hAnsi="Century Gothic" w:cstheme="minorHAnsi"/>
          <w:sz w:val="24"/>
          <w:szCs w:val="24"/>
        </w:rPr>
        <w:t xml:space="preserve"> adecuada (entendemos, dependiendo del suplidor técnico, que se requiere un monitor x cada 10 pacientes), y con dicho monitor en contacto permanente con médico tratante, clínica de confianza y servicio de ambulancias convenido bajo alianza de servicios. Esto hace el control auditable y minimiza riesgos operacionales y de responsabilidad profesional. La domótica permitirá la adecuación de residencia a estándares ligados a las mejores prácticas en la materia, como la ausencia de accesorios operados con fuego, refrigeración inteligente, microondas e iluminación controlados por Internet de las Cosas (IOT), pisos y acabados anti resbalantes, cortinas anti fuego, etc..</w:t>
      </w:r>
    </w:p>
    <w:p w:rsidR="006A1BAF" w:rsidRPr="00E93715" w:rsidRDefault="006A1BAF" w:rsidP="006A1BAF">
      <w:pPr>
        <w:pStyle w:val="Listaconvietas"/>
        <w:spacing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E93715">
        <w:rPr>
          <w:rFonts w:ascii="Century Gothic" w:hAnsi="Century Gothic" w:cstheme="minorHAnsi"/>
          <w:b/>
          <w:i/>
          <w:sz w:val="24"/>
          <w:szCs w:val="24"/>
        </w:rPr>
        <w:t>Catering.</w:t>
      </w:r>
      <w:r w:rsidRPr="00E93715">
        <w:rPr>
          <w:rFonts w:ascii="Century Gothic" w:hAnsi="Century Gothic" w:cstheme="minorHAnsi"/>
          <w:sz w:val="24"/>
          <w:szCs w:val="24"/>
        </w:rPr>
        <w:t xml:space="preserve"> Preparación (en el módulo) de los menús recetados o prescritos para los ocupantes. Cadena de frio para eventuales necesidades de provisiones, inclusive medicamentos de conveniencia, solo manipulables por el personal médico del ocupante, o los enfermeros que la familia envíe bajo su responsabilidad y contrato directo. Control de inventario.</w:t>
      </w:r>
    </w:p>
    <w:p w:rsidR="006A1BAF" w:rsidRPr="00E93715" w:rsidRDefault="00D23680" w:rsidP="006A1BAF">
      <w:pPr>
        <w:pStyle w:val="Textoindependiente"/>
        <w:spacing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E93715">
        <w:rPr>
          <w:rFonts w:ascii="Century Gothic" w:hAnsi="Century Gothic" w:cstheme="minorHAnsi"/>
          <w:sz w:val="24"/>
          <w:szCs w:val="24"/>
        </w:rPr>
        <w:br/>
      </w:r>
    </w:p>
    <w:sectPr w:rsidR="006A1BAF" w:rsidRPr="00E937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4C" w:rsidRDefault="003A584C" w:rsidP="00417F90">
      <w:pPr>
        <w:spacing w:after="0" w:line="240" w:lineRule="auto"/>
      </w:pPr>
      <w:r>
        <w:separator/>
      </w:r>
    </w:p>
  </w:endnote>
  <w:endnote w:type="continuationSeparator" w:id="0">
    <w:p w:rsidR="003A584C" w:rsidRDefault="003A584C" w:rsidP="0041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Swis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4C" w:rsidRDefault="003A584C" w:rsidP="00417F90">
      <w:pPr>
        <w:spacing w:after="0" w:line="240" w:lineRule="auto"/>
      </w:pPr>
      <w:r>
        <w:separator/>
      </w:r>
    </w:p>
  </w:footnote>
  <w:footnote w:type="continuationSeparator" w:id="0">
    <w:p w:rsidR="003A584C" w:rsidRDefault="003A584C" w:rsidP="00417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5588C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30"/>
    <w:rsid w:val="0001521A"/>
    <w:rsid w:val="00042BAF"/>
    <w:rsid w:val="000519CC"/>
    <w:rsid w:val="000D5641"/>
    <w:rsid w:val="00144F9D"/>
    <w:rsid w:val="00193044"/>
    <w:rsid w:val="001A1AAE"/>
    <w:rsid w:val="00282C5C"/>
    <w:rsid w:val="002B1ED2"/>
    <w:rsid w:val="00305422"/>
    <w:rsid w:val="003A584C"/>
    <w:rsid w:val="00417F90"/>
    <w:rsid w:val="00433DF9"/>
    <w:rsid w:val="00433E30"/>
    <w:rsid w:val="004775AB"/>
    <w:rsid w:val="0049157A"/>
    <w:rsid w:val="004D3C8E"/>
    <w:rsid w:val="004E5FE9"/>
    <w:rsid w:val="004F0B09"/>
    <w:rsid w:val="004F4EFB"/>
    <w:rsid w:val="00543914"/>
    <w:rsid w:val="00557834"/>
    <w:rsid w:val="00594B9F"/>
    <w:rsid w:val="005B5720"/>
    <w:rsid w:val="005B73D2"/>
    <w:rsid w:val="005E76C6"/>
    <w:rsid w:val="006875C3"/>
    <w:rsid w:val="006A1BAF"/>
    <w:rsid w:val="006B1FE6"/>
    <w:rsid w:val="006F4F84"/>
    <w:rsid w:val="00706DD5"/>
    <w:rsid w:val="007370C6"/>
    <w:rsid w:val="00771DA5"/>
    <w:rsid w:val="00774A49"/>
    <w:rsid w:val="00797298"/>
    <w:rsid w:val="007C3C85"/>
    <w:rsid w:val="007C5B0B"/>
    <w:rsid w:val="007E062A"/>
    <w:rsid w:val="007E63A1"/>
    <w:rsid w:val="007E798E"/>
    <w:rsid w:val="008001D1"/>
    <w:rsid w:val="008A51CB"/>
    <w:rsid w:val="008B4A0D"/>
    <w:rsid w:val="00906DA6"/>
    <w:rsid w:val="0093345F"/>
    <w:rsid w:val="00955443"/>
    <w:rsid w:val="00965C20"/>
    <w:rsid w:val="00997320"/>
    <w:rsid w:val="009B497F"/>
    <w:rsid w:val="00A32AC4"/>
    <w:rsid w:val="00A86F9D"/>
    <w:rsid w:val="00B05010"/>
    <w:rsid w:val="00C01746"/>
    <w:rsid w:val="00C249B1"/>
    <w:rsid w:val="00C7397B"/>
    <w:rsid w:val="00CE1CC4"/>
    <w:rsid w:val="00CF7485"/>
    <w:rsid w:val="00D001BC"/>
    <w:rsid w:val="00D23680"/>
    <w:rsid w:val="00D25EDF"/>
    <w:rsid w:val="00D431A6"/>
    <w:rsid w:val="00D93503"/>
    <w:rsid w:val="00E30F17"/>
    <w:rsid w:val="00E81A6E"/>
    <w:rsid w:val="00E93715"/>
    <w:rsid w:val="00ED273F"/>
    <w:rsid w:val="00ED6217"/>
    <w:rsid w:val="00EE78BD"/>
    <w:rsid w:val="00FA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DE85C-7588-4115-B787-1203D5F6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74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4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433E3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433E3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uentedeprrafopredeter"/>
    <w:rsid w:val="00433E3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uentedeprrafopredeter"/>
    <w:rsid w:val="00D23680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774A49"/>
    <w:pPr>
      <w:widowControl w:val="0"/>
      <w:tabs>
        <w:tab w:val="left" w:pos="-462"/>
        <w:tab w:val="left" w:pos="-178"/>
      </w:tabs>
    </w:pPr>
    <w:rPr>
      <w:rFonts w:ascii="Swis721 BT" w:eastAsia="Times New Roman" w:hAnsi="Swis721 BT" w:cs="Times New Roman"/>
      <w:color w:val="00000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74A49"/>
    <w:rPr>
      <w:rFonts w:ascii="Swis721 BT" w:eastAsia="Times New Roman" w:hAnsi="Swis721 BT" w:cs="Times New Roman"/>
      <w:color w:val="000000"/>
      <w:szCs w:val="20"/>
    </w:rPr>
  </w:style>
  <w:style w:type="paragraph" w:styleId="Prrafodelista">
    <w:name w:val="List Paragraph"/>
    <w:basedOn w:val="Normal"/>
    <w:uiPriority w:val="34"/>
    <w:qFormat/>
    <w:rsid w:val="00774A49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7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Ttulo1Car">
    <w:name w:val="Título 1 Car"/>
    <w:basedOn w:val="Fuentedeprrafopredeter"/>
    <w:link w:val="Ttulo1"/>
    <w:uiPriority w:val="9"/>
    <w:rsid w:val="00774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74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convietas">
    <w:name w:val="List Bullet"/>
    <w:basedOn w:val="Normal"/>
    <w:uiPriority w:val="99"/>
    <w:unhideWhenUsed/>
    <w:rsid w:val="00774A49"/>
    <w:pPr>
      <w:numPr>
        <w:numId w:val="1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7F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F90"/>
  </w:style>
  <w:style w:type="paragraph" w:styleId="Piedepgina">
    <w:name w:val="footer"/>
    <w:basedOn w:val="Normal"/>
    <w:link w:val="PiedepginaCar"/>
    <w:uiPriority w:val="99"/>
    <w:unhideWhenUsed/>
    <w:rsid w:val="00417F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F90"/>
  </w:style>
  <w:style w:type="table" w:styleId="Tablaconcuadrcula">
    <w:name w:val="Table Grid"/>
    <w:basedOn w:val="Tablanormal"/>
    <w:uiPriority w:val="59"/>
    <w:rsid w:val="00ED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HP1</cp:lastModifiedBy>
  <cp:revision>4</cp:revision>
  <dcterms:created xsi:type="dcterms:W3CDTF">2021-01-12T00:48:00Z</dcterms:created>
  <dcterms:modified xsi:type="dcterms:W3CDTF">2021-01-12T00:48:00Z</dcterms:modified>
</cp:coreProperties>
</file>